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8D" w:rsidRPr="00550E8D" w:rsidRDefault="00550E8D" w:rsidP="00550E8D">
      <w:pPr>
        <w:spacing w:after="0" w:line="240" w:lineRule="auto"/>
        <w:rPr>
          <w:rFonts w:ascii="Conv_Intro-Book" w:eastAsia="Times New Roman" w:hAnsi="Conv_Intro-Book" w:cs="Times New Roman"/>
          <w:color w:val="320070"/>
          <w:sz w:val="23"/>
          <w:szCs w:val="23"/>
          <w:lang w:eastAsia="ru-RU"/>
        </w:rPr>
      </w:pPr>
      <w:r w:rsidRPr="00550E8D">
        <w:rPr>
          <w:rFonts w:ascii="Conv_Intro-Book" w:eastAsia="Times New Roman" w:hAnsi="Conv_Intro-Book" w:cs="Times New Roman"/>
          <w:noProof/>
          <w:color w:val="0000FF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6000750" cy="819150"/>
            <wp:effectExtent l="0" t="0" r="0" b="0"/>
            <wp:docPr id="2" name="Рисунок 2" descr="Центр развития детского отдых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развития детского отдых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8D" w:rsidRPr="00550E8D" w:rsidRDefault="00550E8D" w:rsidP="00550E8D">
      <w:pPr>
        <w:shd w:val="clear" w:color="auto" w:fill="5B1369"/>
        <w:spacing w:after="60" w:line="405" w:lineRule="atLeast"/>
        <w:jc w:val="center"/>
        <w:rPr>
          <w:rFonts w:ascii="Conv_Intro-Bold" w:eastAsia="Times New Roman" w:hAnsi="Conv_Intro-Bold" w:cs="Times New Roman"/>
          <w:color w:val="FEFEFE"/>
          <w:sz w:val="23"/>
          <w:szCs w:val="23"/>
          <w:lang w:eastAsia="ru-RU"/>
        </w:rPr>
      </w:pPr>
      <w:proofErr w:type="spellStart"/>
      <w:r w:rsidRPr="00550E8D">
        <w:rPr>
          <w:rFonts w:ascii="Conv_Intro-Bold" w:eastAsia="Times New Roman" w:hAnsi="Conv_Intro-Bold" w:cs="Times New Roman"/>
          <w:color w:val="FEFEFE"/>
          <w:sz w:val="23"/>
          <w:szCs w:val="23"/>
          <w:lang w:eastAsia="ru-RU"/>
        </w:rPr>
        <w:t>Aa</w:t>
      </w:r>
      <w:proofErr w:type="spellEnd"/>
    </w:p>
    <w:p w:rsidR="00550E8D" w:rsidRPr="00550E8D" w:rsidRDefault="00550E8D" w:rsidP="00550E8D">
      <w:pPr>
        <w:spacing w:after="0" w:line="240" w:lineRule="auto"/>
        <w:rPr>
          <w:rFonts w:ascii="Conv_Intro-Book" w:eastAsia="Times New Roman" w:hAnsi="Conv_Intro-Book" w:cs="Times New Roman"/>
          <w:color w:val="320070"/>
          <w:sz w:val="23"/>
          <w:szCs w:val="23"/>
          <w:lang w:eastAsia="ru-RU"/>
        </w:rPr>
      </w:pPr>
      <w:r w:rsidRPr="00550E8D">
        <w:rPr>
          <w:rFonts w:ascii="Conv_Intro-Book" w:eastAsia="Times New Roman" w:hAnsi="Conv_Intro-Book" w:cs="Times New Roman"/>
          <w:noProof/>
          <w:color w:val="0000FF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>
            <wp:extent cx="257175" cy="257175"/>
            <wp:effectExtent l="0" t="0" r="9525" b="9525"/>
            <wp:docPr id="1" name="Рисунок 1" descr="youtub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E8D" w:rsidRPr="00F02069" w:rsidRDefault="00550E8D" w:rsidP="00F02069">
      <w:pPr>
        <w:spacing w:after="0" w:line="240" w:lineRule="auto"/>
        <w:rPr>
          <w:rFonts w:ascii="Conv_Intro-Bold" w:eastAsia="Times New Roman" w:hAnsi="Conv_Intro-Bold" w:cs="Times New Roman"/>
          <w:color w:val="290A4E"/>
          <w:sz w:val="21"/>
          <w:szCs w:val="21"/>
          <w:lang w:eastAsia="ru-RU"/>
        </w:rPr>
      </w:pPr>
      <w:r w:rsidRPr="00550E8D">
        <w:rPr>
          <w:rFonts w:ascii="Conv_Intro-Bold" w:eastAsia="Times New Roman" w:hAnsi="Conv_Intro-Bold" w:cs="Times New Roman"/>
          <w:color w:val="EE7D43"/>
          <w:sz w:val="21"/>
          <w:szCs w:val="21"/>
          <w:lang w:eastAsia="ru-RU"/>
        </w:rPr>
        <w:t>Телефон горячей линии:</w:t>
      </w:r>
      <w:r w:rsidRPr="00550E8D">
        <w:rPr>
          <w:rFonts w:ascii="Conv_Intro-Bold" w:eastAsia="Times New Roman" w:hAnsi="Conv_Intro-Bold" w:cs="Times New Roman"/>
          <w:color w:val="290A4E"/>
          <w:sz w:val="21"/>
          <w:szCs w:val="21"/>
          <w:lang w:eastAsia="ru-RU"/>
        </w:rPr>
        <w:br/>
        <w:t>+7 (4742) 310-310</w:t>
      </w:r>
    </w:p>
    <w:p w:rsidR="00550E8D" w:rsidRPr="00550E8D" w:rsidRDefault="00550E8D" w:rsidP="00550E8D">
      <w:pPr>
        <w:shd w:val="clear" w:color="auto" w:fill="974CAB"/>
        <w:spacing w:after="0" w:line="870" w:lineRule="atLeast"/>
        <w:jc w:val="center"/>
        <w:rPr>
          <w:rFonts w:ascii="Conv_IntroBlack-Caps" w:eastAsia="Times New Roman" w:hAnsi="Conv_IntroBlack-Caps" w:cs="Times New Roman"/>
          <w:color w:val="FEFEFE"/>
          <w:sz w:val="33"/>
          <w:szCs w:val="33"/>
          <w:lang w:eastAsia="ru-RU"/>
        </w:rPr>
      </w:pPr>
      <w:r w:rsidRPr="00550E8D">
        <w:rPr>
          <w:rFonts w:ascii="Conv_IntroBlack-Caps" w:eastAsia="Times New Roman" w:hAnsi="Conv_IntroBlack-Caps" w:cs="Times New Roman"/>
          <w:color w:val="FEFEFE"/>
          <w:sz w:val="33"/>
          <w:szCs w:val="33"/>
          <w:lang w:eastAsia="ru-RU"/>
        </w:rPr>
        <w:t>Летняя оздоровительная кампания - 2024</w:t>
      </w:r>
    </w:p>
    <w:p w:rsidR="00550E8D" w:rsidRPr="00550E8D" w:rsidRDefault="00550E8D" w:rsidP="00550E8D">
      <w:pPr>
        <w:shd w:val="clear" w:color="auto" w:fill="FEFEFE"/>
        <w:spacing w:before="100" w:beforeAutospacing="1" w:after="100" w:afterAutospacing="1" w:line="240" w:lineRule="auto"/>
        <w:ind w:firstLine="300"/>
        <w:jc w:val="center"/>
        <w:outlineLvl w:val="3"/>
        <w:rPr>
          <w:rFonts w:ascii="Conv_Intro-Book" w:eastAsia="Times New Roman" w:hAnsi="Conv_Intro-Book" w:cs="Times New Roman"/>
          <w:b/>
          <w:bCs/>
          <w:color w:val="7A2E61"/>
          <w:sz w:val="29"/>
          <w:szCs w:val="29"/>
          <w:lang w:eastAsia="ru-RU"/>
        </w:rPr>
      </w:pPr>
      <w:r w:rsidRPr="00550E8D">
        <w:rPr>
          <w:rFonts w:ascii="Conv_Intro-Book" w:eastAsia="Times New Roman" w:hAnsi="Conv_Intro-Book" w:cs="Times New Roman"/>
          <w:b/>
          <w:bCs/>
          <w:color w:val="7A2E61"/>
          <w:sz w:val="29"/>
          <w:szCs w:val="29"/>
          <w:lang w:eastAsia="ru-RU"/>
        </w:rPr>
        <w:t> Уважаемые родители!</w:t>
      </w:r>
    </w:p>
    <w:p w:rsidR="00550E8D" w:rsidRPr="00550E8D" w:rsidRDefault="00550E8D" w:rsidP="00550E8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</w:pPr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В Липецкой области предусмотрена возможность частичного возмещения затрат родителям (законным представителям) детей за путёвки в детские стационарные оздоровительные лагеря, расположенные на территории Липецкой области</w:t>
      </w:r>
    </w:p>
    <w:p w:rsidR="00550E8D" w:rsidRPr="00550E8D" w:rsidRDefault="00550E8D" w:rsidP="00550E8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</w:pPr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Сумма возмещения затрат за путевки детям из областного бюджета в 2024 году на 21 день составляет 18 555, 00 рублей.</w:t>
      </w:r>
    </w:p>
    <w:p w:rsidR="00550E8D" w:rsidRPr="00550E8D" w:rsidRDefault="00550E8D" w:rsidP="00550E8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</w:pPr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Для того, чтобы приобрести путевку в один из лагерей Центра развития детского отдыха (</w:t>
      </w:r>
      <w:proofErr w:type="gramStart"/>
      <w:r w:rsidRPr="00C812F8">
        <w:rPr>
          <w:rFonts w:ascii="Conv_Intro-Book" w:eastAsia="Times New Roman" w:hAnsi="Conv_Intro-Book" w:cs="Times New Roman"/>
          <w:b/>
          <w:color w:val="320070"/>
          <w:sz w:val="27"/>
          <w:szCs w:val="27"/>
          <w:lang w:eastAsia="ru-RU"/>
        </w:rPr>
        <w:t>ОК</w:t>
      </w:r>
      <w:proofErr w:type="gramEnd"/>
      <w:r w:rsidRPr="00C812F8">
        <w:rPr>
          <w:rFonts w:ascii="Conv_Intro-Book" w:eastAsia="Times New Roman" w:hAnsi="Conv_Intro-Book" w:cs="Times New Roman"/>
          <w:b/>
          <w:color w:val="320070"/>
          <w:sz w:val="27"/>
          <w:szCs w:val="27"/>
          <w:lang w:eastAsia="ru-RU"/>
        </w:rPr>
        <w:t xml:space="preserve"> «Березка», ДОЛ «Елочка», ДОЛ «Лукоморье», ООЛ «Олимп», ЗОЛ «Чайка», ДЗОЛ «Орленок», СОК «Прометей» и ДОЛ «Альбатрос»</w:t>
      </w:r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), необходимо обратиться в Центр любым удобным для вас способом:</w:t>
      </w:r>
    </w:p>
    <w:p w:rsidR="00550E8D" w:rsidRPr="00550E8D" w:rsidRDefault="00550E8D" w:rsidP="00550E8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</w:pPr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 xml:space="preserve">- по адресу г. Липецк, ул. </w:t>
      </w:r>
      <w:proofErr w:type="gramStart"/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Краснознаменная</w:t>
      </w:r>
      <w:proofErr w:type="gramEnd"/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 xml:space="preserve">, владение 4, 4 этаж, 401, 404 </w:t>
      </w:r>
      <w:proofErr w:type="spellStart"/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каб</w:t>
      </w:r>
      <w:proofErr w:type="spellEnd"/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.;</w:t>
      </w:r>
    </w:p>
    <w:p w:rsidR="00550E8D" w:rsidRPr="00550E8D" w:rsidRDefault="00550E8D" w:rsidP="00550E8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</w:pPr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- по телефону: (4742) 310-310;</w:t>
      </w:r>
    </w:p>
    <w:p w:rsidR="00550E8D" w:rsidRPr="00550E8D" w:rsidRDefault="00550E8D" w:rsidP="00550E8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</w:pPr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- по электронной почте: </w:t>
      </w:r>
      <w:hyperlink r:id="rId11" w:history="1">
        <w:r w:rsidRPr="00550E8D">
          <w:rPr>
            <w:rFonts w:ascii="Conv_Intro-Book" w:eastAsia="Times New Roman" w:hAnsi="Conv_Intro-Book" w:cs="Times New Roman"/>
            <w:color w:val="0000FF"/>
            <w:sz w:val="27"/>
            <w:szCs w:val="27"/>
            <w:u w:val="single"/>
            <w:bdr w:val="none" w:sz="0" w:space="0" w:color="auto" w:frame="1"/>
            <w:lang w:eastAsia="ru-RU"/>
          </w:rPr>
          <w:t>info@v-lager.ru</w:t>
        </w:r>
      </w:hyperlink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.</w:t>
      </w:r>
    </w:p>
    <w:p w:rsidR="00550E8D" w:rsidRPr="00550E8D" w:rsidRDefault="00550E8D" w:rsidP="00550E8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</w:pPr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Путевки в другие детские стационарные загородные оздоровительные лагеря, расположенные на территории Липецкой области, вы можете приобрести у ответственных лиц данных лагерей.</w:t>
      </w:r>
    </w:p>
    <w:p w:rsidR="00550E8D" w:rsidRPr="00550E8D" w:rsidRDefault="00550E8D" w:rsidP="00550E8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</w:pPr>
      <w:r w:rsidRPr="00550E8D"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  <w:t>Алгоритм приобретения путевки с частичным возмещением затрат из областного бюджета описан в файле «Порядок возмещения затрат из областного бюджета родителям (законным представителям) за путёвки в детские стационарные оздоровительные лагеря, расположенные на территории Липецкой области, в 2024 году».</w:t>
      </w:r>
    </w:p>
    <w:p w:rsidR="00550E8D" w:rsidRPr="00550E8D" w:rsidRDefault="00C812F8" w:rsidP="00550E8D">
      <w:pPr>
        <w:shd w:val="clear" w:color="auto" w:fill="FEFEFE"/>
        <w:spacing w:before="100" w:beforeAutospacing="1" w:after="100" w:afterAutospacing="1" w:line="240" w:lineRule="auto"/>
        <w:jc w:val="both"/>
        <w:rPr>
          <w:rFonts w:ascii="Conv_Intro-Book" w:eastAsia="Times New Roman" w:hAnsi="Conv_Intro-Book" w:cs="Times New Roman"/>
          <w:color w:val="320070"/>
          <w:sz w:val="27"/>
          <w:szCs w:val="27"/>
          <w:lang w:eastAsia="ru-RU"/>
        </w:rPr>
      </w:pPr>
      <w:hyperlink r:id="rId12" w:tgtFrame="_blank" w:history="1">
        <w:r w:rsidR="00550E8D" w:rsidRPr="00550E8D">
          <w:rPr>
            <w:rFonts w:ascii="Conv_Intro-Book" w:eastAsia="Times New Roman" w:hAnsi="Conv_Intro-Book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1. Документы, необходи</w:t>
        </w:r>
        <w:bookmarkStart w:id="0" w:name="_GoBack"/>
        <w:bookmarkEnd w:id="0"/>
        <w:r w:rsidR="00550E8D" w:rsidRPr="00550E8D">
          <w:rPr>
            <w:rFonts w:ascii="Conv_Intro-Book" w:eastAsia="Times New Roman" w:hAnsi="Conv_Intro-Book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м</w:t>
        </w:r>
        <w:r w:rsidR="00550E8D" w:rsidRPr="00550E8D">
          <w:rPr>
            <w:rFonts w:ascii="Conv_Intro-Book" w:eastAsia="Times New Roman" w:hAnsi="Conv_Intro-Book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ые для получения путевки в лагеря ОАУ </w:t>
        </w:r>
        <w:proofErr w:type="spellStart"/>
        <w:r w:rsidR="00550E8D" w:rsidRPr="00550E8D">
          <w:rPr>
            <w:rFonts w:ascii="Conv_Intro-Book" w:eastAsia="Times New Roman" w:hAnsi="Conv_Intro-Book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ООиОД</w:t>
        </w:r>
        <w:proofErr w:type="spellEnd"/>
        <w:r w:rsidR="00550E8D" w:rsidRPr="00550E8D">
          <w:rPr>
            <w:rFonts w:ascii="Conv_Intro-Book" w:eastAsia="Times New Roman" w:hAnsi="Conv_Intro-Book" w:cs="Times New Roman"/>
            <w:b/>
            <w:b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ЦРДО</w:t>
        </w:r>
      </w:hyperlink>
    </w:p>
    <w:sectPr w:rsidR="00550E8D" w:rsidRPr="0055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v_Intro-Book">
    <w:altName w:val="Times New Roman"/>
    <w:panose1 w:val="00000000000000000000"/>
    <w:charset w:val="00"/>
    <w:family w:val="roman"/>
    <w:notTrueType/>
    <w:pitch w:val="default"/>
  </w:font>
  <w:font w:name="Conv_Intro-Bold">
    <w:altName w:val="Times New Roman"/>
    <w:panose1 w:val="00000000000000000000"/>
    <w:charset w:val="00"/>
    <w:family w:val="roman"/>
    <w:notTrueType/>
    <w:pitch w:val="default"/>
  </w:font>
  <w:font w:name="Conv_IntroBlack-Ca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895"/>
    <w:multiLevelType w:val="multilevel"/>
    <w:tmpl w:val="DF1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214"/>
    <w:rsid w:val="00550E8D"/>
    <w:rsid w:val="005E2214"/>
    <w:rsid w:val="005F5E2F"/>
    <w:rsid w:val="00792605"/>
    <w:rsid w:val="00C812F8"/>
    <w:rsid w:val="00EE2C79"/>
    <w:rsid w:val="00F0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0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50E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E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0E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0E8D"/>
    <w:rPr>
      <w:color w:val="0000FF"/>
      <w:u w:val="single"/>
    </w:rPr>
  </w:style>
  <w:style w:type="character" w:customStyle="1" w:styleId="separator">
    <w:name w:val="separator"/>
    <w:basedOn w:val="a0"/>
    <w:rsid w:val="00550E8D"/>
  </w:style>
  <w:style w:type="paragraph" w:styleId="a4">
    <w:name w:val="Normal (Web)"/>
    <w:basedOn w:val="a"/>
    <w:uiPriority w:val="99"/>
    <w:semiHidden/>
    <w:unhideWhenUsed/>
    <w:rsid w:val="0055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E8D"/>
    <w:rPr>
      <w:b/>
      <w:bCs/>
    </w:rPr>
  </w:style>
  <w:style w:type="character" w:customStyle="1" w:styleId="doccaption">
    <w:name w:val="doccaption"/>
    <w:basedOn w:val="a0"/>
    <w:rsid w:val="00550E8D"/>
  </w:style>
  <w:style w:type="paragraph" w:styleId="a6">
    <w:name w:val="Balloon Text"/>
    <w:basedOn w:val="a"/>
    <w:link w:val="a7"/>
    <w:uiPriority w:val="99"/>
    <w:semiHidden/>
    <w:unhideWhenUsed/>
    <w:rsid w:val="00EE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C7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50E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50E8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50E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50E8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0E8D"/>
    <w:rPr>
      <w:color w:val="0000FF"/>
      <w:u w:val="single"/>
    </w:rPr>
  </w:style>
  <w:style w:type="character" w:customStyle="1" w:styleId="separator">
    <w:name w:val="separator"/>
    <w:basedOn w:val="a0"/>
    <w:rsid w:val="00550E8D"/>
  </w:style>
  <w:style w:type="paragraph" w:styleId="a4">
    <w:name w:val="Normal (Web)"/>
    <w:basedOn w:val="a"/>
    <w:uiPriority w:val="99"/>
    <w:semiHidden/>
    <w:unhideWhenUsed/>
    <w:rsid w:val="00550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0E8D"/>
    <w:rPr>
      <w:b/>
      <w:bCs/>
    </w:rPr>
  </w:style>
  <w:style w:type="character" w:customStyle="1" w:styleId="doccaption">
    <w:name w:val="doccaption"/>
    <w:basedOn w:val="a0"/>
    <w:rsid w:val="00550E8D"/>
  </w:style>
  <w:style w:type="paragraph" w:styleId="a6">
    <w:name w:val="Balloon Text"/>
    <w:basedOn w:val="a"/>
    <w:link w:val="a7"/>
    <w:uiPriority w:val="99"/>
    <w:semiHidden/>
    <w:unhideWhenUsed/>
    <w:rsid w:val="00EE2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2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0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505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460">
              <w:marLeft w:val="450"/>
              <w:marRight w:val="0"/>
              <w:marTop w:val="5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8565">
                  <w:marLeft w:val="0"/>
                  <w:marRight w:val="0"/>
                  <w:marTop w:val="0"/>
                  <w:marBottom w:val="0"/>
                  <w:divBdr>
                    <w:top w:val="dashed" w:sz="12" w:space="0" w:color="5B1369"/>
                    <w:left w:val="dashed" w:sz="12" w:space="0" w:color="5B1369"/>
                    <w:bottom w:val="dashed" w:sz="12" w:space="0" w:color="5B1369"/>
                    <w:right w:val="dashed" w:sz="12" w:space="0" w:color="5B1369"/>
                  </w:divBdr>
                  <w:divsChild>
                    <w:div w:id="1453404031">
                      <w:marLeft w:val="60"/>
                      <w:marRight w:val="6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94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50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263031">
          <w:marLeft w:val="0"/>
          <w:marRight w:val="0"/>
          <w:marTop w:val="300"/>
          <w:marBottom w:val="0"/>
          <w:divBdr>
            <w:top w:val="single" w:sz="12" w:space="0" w:color="E8E0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0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96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68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E8E0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66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217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294648">
                              <w:marLeft w:val="30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E8E0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820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-lager.ru/" TargetMode="External"/><Relationship Id="rId12" Type="http://schemas.openxmlformats.org/officeDocument/2006/relationships/hyperlink" Target="https://www.v-lager.ru/images/Documents/leto-2023/LagDoc2023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v-lager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channel/UClXgFfKkhQw2TgEw3HU0n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6433E-FC68-4DE6-A544-C652C608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Kab218</dc:creator>
  <cp:lastModifiedBy>Natalia</cp:lastModifiedBy>
  <cp:revision>2</cp:revision>
  <cp:lastPrinted>2024-04-10T10:25:00Z</cp:lastPrinted>
  <dcterms:created xsi:type="dcterms:W3CDTF">2024-04-10T13:04:00Z</dcterms:created>
  <dcterms:modified xsi:type="dcterms:W3CDTF">2024-04-10T13:04:00Z</dcterms:modified>
</cp:coreProperties>
</file>